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504722DD" w:rsidR="00A7774E" w:rsidRPr="00A75279" w:rsidRDefault="00AF567B" w:rsidP="00D07DA7">
            <w:pPr>
              <w:pStyle w:val="TableParagraph"/>
              <w:spacing w:before="89" w:line="213" w:lineRule="exact"/>
              <w:rPr>
                <w:rFonts w:ascii="Tahoma" w:hAnsi="Tahoma" w:cs="Tahoma"/>
                <w:sz w:val="19"/>
              </w:rPr>
            </w:pPr>
            <w:r w:rsidRPr="00AF567B">
              <w:rPr>
                <w:rFonts w:ascii="Tahoma" w:hAnsi="Tahoma" w:cs="Tahoma"/>
                <w:color w:val="000000"/>
                <w:sz w:val="18"/>
              </w:rPr>
              <w:t>Deep Conditioning Protein Hair Masque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191C" w14:textId="77777777" w:rsidR="00B6133C" w:rsidRDefault="00B6133C">
      <w:r>
        <w:separator/>
      </w:r>
    </w:p>
  </w:endnote>
  <w:endnote w:type="continuationSeparator" w:id="0">
    <w:p w14:paraId="1E1B8B56" w14:textId="77777777" w:rsidR="00B6133C" w:rsidRDefault="00B6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2F34" w14:textId="77777777" w:rsidR="00B6133C" w:rsidRDefault="00B6133C">
      <w:r>
        <w:separator/>
      </w:r>
    </w:p>
  </w:footnote>
  <w:footnote w:type="continuationSeparator" w:id="0">
    <w:p w14:paraId="4E055AC5" w14:textId="77777777" w:rsidR="00B6133C" w:rsidRDefault="00B61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4C15"/>
    <w:rsid w:val="00142A5C"/>
    <w:rsid w:val="0016721A"/>
    <w:rsid w:val="001963C2"/>
    <w:rsid w:val="001A6008"/>
    <w:rsid w:val="001D3E0F"/>
    <w:rsid w:val="00280D19"/>
    <w:rsid w:val="002B29E9"/>
    <w:rsid w:val="002D7365"/>
    <w:rsid w:val="003620D3"/>
    <w:rsid w:val="00396D74"/>
    <w:rsid w:val="00481C38"/>
    <w:rsid w:val="004C7E33"/>
    <w:rsid w:val="004D3C76"/>
    <w:rsid w:val="004F3939"/>
    <w:rsid w:val="0051162B"/>
    <w:rsid w:val="005257CC"/>
    <w:rsid w:val="005B76FF"/>
    <w:rsid w:val="006A692E"/>
    <w:rsid w:val="006B1596"/>
    <w:rsid w:val="007B6318"/>
    <w:rsid w:val="0083263F"/>
    <w:rsid w:val="00832996"/>
    <w:rsid w:val="00A75279"/>
    <w:rsid w:val="00A7774E"/>
    <w:rsid w:val="00A853D0"/>
    <w:rsid w:val="00AF567B"/>
    <w:rsid w:val="00B47290"/>
    <w:rsid w:val="00B50226"/>
    <w:rsid w:val="00B6133C"/>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